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480"/>
        <w:spacing w:after="0"/>
        <w:rPr>
          <w:sz w:val="20"/>
          <w:szCs w:val="20"/>
          <w:color w:val="auto"/>
        </w:rPr>
      </w:pPr>
      <w:r>
        <w:rPr>
          <w:rFonts w:ascii="Arial" w:cs="Arial" w:eastAsia="Arial" w:hAnsi="Arial"/>
          <w:sz w:val="32"/>
          <w:szCs w:val="32"/>
          <w:b w:val="1"/>
          <w:bCs w:val="1"/>
          <w:color w:val="auto"/>
        </w:rPr>
        <w:t>Next Steps for Survivors</w:t>
      </w:r>
    </w:p>
    <w:p>
      <w:pPr>
        <w:spacing w:after="0" w:line="161" w:lineRule="exact"/>
        <w:rPr>
          <w:sz w:val="24"/>
          <w:szCs w:val="24"/>
          <w:color w:val="auto"/>
        </w:rPr>
      </w:pPr>
    </w:p>
    <w:p>
      <w:pPr>
        <w:spacing w:after="0"/>
        <w:rPr>
          <w:sz w:val="20"/>
          <w:szCs w:val="20"/>
          <w:color w:val="auto"/>
        </w:rPr>
      </w:pPr>
      <w:r>
        <w:rPr>
          <w:rFonts w:ascii="Garamond" w:cs="Garamond" w:eastAsia="Garamond" w:hAnsi="Garamond"/>
          <w:sz w:val="26"/>
          <w:szCs w:val="26"/>
          <w:color w:val="auto"/>
        </w:rPr>
        <w:t>Additional tasks loved ones may also need to address:</w:t>
      </w:r>
    </w:p>
    <w:p>
      <w:pPr>
        <w:spacing w:after="0" w:line="171" w:lineRule="exact"/>
        <w:rPr>
          <w:sz w:val="24"/>
          <w:szCs w:val="24"/>
          <w:color w:val="auto"/>
        </w:rPr>
      </w:pPr>
    </w:p>
    <w:p>
      <w:pPr>
        <w:jc w:val="both"/>
        <w:ind w:left="360" w:hanging="360"/>
        <w:spacing w:after="0"/>
        <w:tabs>
          <w:tab w:leader="none" w:pos="360" w:val="left"/>
        </w:tabs>
        <w:numPr>
          <w:ilvl w:val="0"/>
          <w:numId w:val="1"/>
        </w:numPr>
        <w:rPr>
          <w:rFonts w:ascii="Arial" w:cs="Arial" w:eastAsia="Arial" w:hAnsi="Arial"/>
          <w:sz w:val="26"/>
          <w:szCs w:val="26"/>
          <w:color w:val="FFFFFF"/>
        </w:rPr>
      </w:pPr>
      <w:r>
        <w:rPr>
          <w:rFonts w:ascii="Garamond" w:cs="Garamond" w:eastAsia="Garamond" w:hAnsi="Garamond"/>
          <w:sz w:val="26"/>
          <w:szCs w:val="26"/>
          <w:color w:val="auto"/>
        </w:rPr>
        <w:t xml:space="preserve">Notify U.S. Social Security Administration to stop payments. </w:t>
      </w:r>
      <w:r>
        <w:rPr>
          <w:rFonts w:ascii="Garamond" w:cs="Garamond" w:eastAsia="Garamond" w:hAnsi="Garamond"/>
          <w:sz w:val="26"/>
          <w:szCs w:val="26"/>
          <w:i w:val="1"/>
          <w:iCs w:val="1"/>
          <w:color w:val="auto"/>
        </w:rPr>
        <w:t>Resources: pg. 62.</w:t>
      </w:r>
    </w:p>
    <w:p>
      <w:pPr>
        <w:jc w:val="both"/>
        <w:ind w:left="360" w:hanging="360"/>
        <w:spacing w:after="0" w:line="254" w:lineRule="auto"/>
        <w:tabs>
          <w:tab w:leader="none" w:pos="360" w:val="left"/>
        </w:tabs>
        <w:numPr>
          <w:ilvl w:val="0"/>
          <w:numId w:val="1"/>
        </w:numPr>
        <w:rPr>
          <w:rFonts w:ascii="Arial" w:cs="Arial" w:eastAsia="Arial" w:hAnsi="Arial"/>
          <w:sz w:val="26"/>
          <w:szCs w:val="26"/>
          <w:color w:val="FFFFFF"/>
        </w:rPr>
      </w:pPr>
      <w:r>
        <w:rPr>
          <w:rFonts w:ascii="Garamond" w:cs="Garamond" w:eastAsia="Garamond" w:hAnsi="Garamond"/>
          <w:sz w:val="26"/>
          <w:szCs w:val="26"/>
          <w:color w:val="auto"/>
        </w:rPr>
        <w:t xml:space="preserve">Obtain certified copies of the Death Certificate. The original Death Certificate will be filed in the county where the death occurred, and you can always get additional certified copies of the certificate at a later time. </w:t>
      </w:r>
      <w:r>
        <w:rPr>
          <w:rFonts w:ascii="Garamond" w:cs="Garamond" w:eastAsia="Garamond" w:hAnsi="Garamond"/>
          <w:sz w:val="26"/>
          <w:szCs w:val="26"/>
          <w:i w:val="1"/>
          <w:iCs w:val="1"/>
          <w:color w:val="auto"/>
        </w:rPr>
        <w:t>Certified copies</w:t>
      </w:r>
      <w:r>
        <w:rPr>
          <w:rFonts w:ascii="Garamond" w:cs="Garamond" w:eastAsia="Garamond" w:hAnsi="Garamond"/>
          <w:sz w:val="26"/>
          <w:szCs w:val="26"/>
          <w:color w:val="auto"/>
        </w:rPr>
        <w:t xml:space="preserve"> will be needed for the following:</w:t>
      </w:r>
    </w:p>
    <w:p>
      <w:pPr>
        <w:spacing w:after="0" w:line="82" w:lineRule="exact"/>
        <w:rPr>
          <w:rFonts w:ascii="Arial" w:cs="Arial" w:eastAsia="Arial" w:hAnsi="Arial"/>
          <w:sz w:val="26"/>
          <w:szCs w:val="26"/>
          <w:color w:val="FFFFFF"/>
        </w:rPr>
      </w:pPr>
    </w:p>
    <w:p>
      <w:pPr>
        <w:jc w:val="both"/>
        <w:ind w:left="1080" w:hanging="360"/>
        <w:spacing w:after="0"/>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Clearing a Community Property Agreement filed with the County Auditor.</w:t>
      </w:r>
    </w:p>
    <w:p>
      <w:pPr>
        <w:jc w:val="both"/>
        <w:ind w:left="1080" w:hanging="360"/>
        <w:spacing w:after="0" w:line="221" w:lineRule="auto"/>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Settling insurance claims (one for each company).</w:t>
      </w:r>
    </w:p>
    <w:p>
      <w:pPr>
        <w:jc w:val="both"/>
        <w:ind w:left="1080" w:hanging="360"/>
        <w:spacing w:after="0" w:line="221" w:lineRule="auto"/>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Obtaining union benefits.</w:t>
      </w:r>
    </w:p>
    <w:p>
      <w:pPr>
        <w:jc w:val="both"/>
        <w:ind w:left="1080" w:hanging="360"/>
        <w:spacing w:after="0" w:line="228" w:lineRule="auto"/>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Transfer of stocks, bonds, bank accounts etc. that are payable on death (one for each financial institution: savings, checking, trust, credit union, other).</w:t>
      </w:r>
    </w:p>
    <w:p>
      <w:pPr>
        <w:spacing w:after="0" w:line="1" w:lineRule="exact"/>
        <w:rPr>
          <w:rFonts w:ascii="Arial" w:cs="Arial" w:eastAsia="Arial" w:hAnsi="Arial"/>
          <w:sz w:val="26"/>
          <w:szCs w:val="26"/>
          <w:color w:val="FFFFFF"/>
        </w:rPr>
      </w:pPr>
    </w:p>
    <w:p>
      <w:pPr>
        <w:jc w:val="both"/>
        <w:ind w:left="1080" w:hanging="360"/>
        <w:spacing w:after="0"/>
        <w:tabs>
          <w:tab w:leader="none" w:pos="1080" w:val="left"/>
        </w:tabs>
        <w:numPr>
          <w:ilvl w:val="1"/>
          <w:numId w:val="1"/>
        </w:numPr>
        <w:rPr>
          <w:rFonts w:ascii="Arial" w:cs="Arial" w:eastAsia="Arial" w:hAnsi="Arial"/>
          <w:sz w:val="25"/>
          <w:szCs w:val="25"/>
          <w:color w:val="FFFFFF"/>
        </w:rPr>
      </w:pPr>
      <w:r>
        <w:rPr>
          <w:rFonts w:ascii="Garamond" w:cs="Garamond" w:eastAsia="Garamond" w:hAnsi="Garamond"/>
          <w:sz w:val="25"/>
          <w:szCs w:val="25"/>
          <w:color w:val="auto"/>
        </w:rPr>
        <w:t>Banks require presentation of a certified copy of the Death Certificate (they don’t need their own original) in order to establish an account for the estate. This is done through probate by a Personal Representative who has “Letters Testamentary” or “Letters of Administration.”</w:t>
      </w:r>
    </w:p>
    <w:p>
      <w:pPr>
        <w:spacing w:after="0" w:line="1" w:lineRule="exact"/>
        <w:rPr>
          <w:rFonts w:ascii="Arial" w:cs="Arial" w:eastAsia="Arial" w:hAnsi="Arial"/>
          <w:sz w:val="25"/>
          <w:szCs w:val="25"/>
          <w:color w:val="FFFFFF"/>
        </w:rPr>
      </w:pPr>
    </w:p>
    <w:p>
      <w:pPr>
        <w:jc w:val="both"/>
        <w:ind w:left="1080" w:hanging="360"/>
        <w:spacing w:after="0" w:line="221" w:lineRule="auto"/>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Settling mortgage claims (one for each financial institution).</w:t>
      </w:r>
    </w:p>
    <w:p>
      <w:pPr>
        <w:jc w:val="both"/>
        <w:ind w:left="1080" w:hanging="360"/>
        <w:spacing w:after="0" w:line="228" w:lineRule="auto"/>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Filing Federal Estate Tax Return Form 706, or a state return if required, when the estate is over the taxable limit on transfer of assets.</w:t>
      </w:r>
    </w:p>
    <w:p>
      <w:pPr>
        <w:spacing w:after="0" w:line="1" w:lineRule="exact"/>
        <w:rPr>
          <w:rFonts w:ascii="Arial" w:cs="Arial" w:eastAsia="Arial" w:hAnsi="Arial"/>
          <w:sz w:val="26"/>
          <w:szCs w:val="26"/>
          <w:color w:val="FFFFFF"/>
        </w:rPr>
      </w:pPr>
    </w:p>
    <w:p>
      <w:pPr>
        <w:jc w:val="both"/>
        <w:ind w:left="1080" w:hanging="360"/>
        <w:spacing w:after="0" w:line="228" w:lineRule="auto"/>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Depending on whether the estate is probated, you may need one for automobile, trailer, boat or camper title transfers (photocopy may suffice).</w:t>
      </w:r>
    </w:p>
    <w:p>
      <w:pPr>
        <w:spacing w:after="0" w:line="1" w:lineRule="exact"/>
        <w:rPr>
          <w:rFonts w:ascii="Arial" w:cs="Arial" w:eastAsia="Arial" w:hAnsi="Arial"/>
          <w:sz w:val="26"/>
          <w:szCs w:val="26"/>
          <w:color w:val="FFFFFF"/>
        </w:rPr>
      </w:pPr>
    </w:p>
    <w:p>
      <w:pPr>
        <w:jc w:val="both"/>
        <w:ind w:left="1080" w:hanging="360"/>
        <w:spacing w:after="0" w:line="221" w:lineRule="auto"/>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Personal requests for family members (photocopy may suffice).</w:t>
      </w:r>
    </w:p>
    <w:p>
      <w:pPr>
        <w:jc w:val="both"/>
        <w:ind w:left="1080" w:hanging="360"/>
        <w:spacing w:after="0"/>
        <w:tabs>
          <w:tab w:leader="none" w:pos="1080" w:val="left"/>
        </w:tabs>
        <w:numPr>
          <w:ilvl w:val="1"/>
          <w:numId w:val="1"/>
        </w:numPr>
        <w:rPr>
          <w:rFonts w:ascii="Arial" w:cs="Arial" w:eastAsia="Arial" w:hAnsi="Arial"/>
          <w:sz w:val="26"/>
          <w:szCs w:val="26"/>
          <w:color w:val="FFFFFF"/>
        </w:rPr>
      </w:pPr>
      <w:r>
        <w:rPr>
          <w:rFonts w:ascii="Garamond" w:cs="Garamond" w:eastAsia="Garamond" w:hAnsi="Garamond"/>
          <w:sz w:val="26"/>
          <w:szCs w:val="26"/>
          <w:color w:val="auto"/>
        </w:rPr>
        <w:t>Bereavement leave from an employer (photocopy may suffice).</w:t>
      </w:r>
    </w:p>
    <w:p>
      <w:pPr>
        <w:spacing w:after="0" w:line="16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-6350</wp:posOffset>
            </wp:positionH>
            <wp:positionV relativeFrom="paragraph">
              <wp:posOffset>-3587115</wp:posOffset>
            </wp:positionV>
            <wp:extent cx="139700" cy="139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-3404235</wp:posOffset>
            </wp:positionV>
            <wp:extent cx="139700" cy="139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-2733675</wp:posOffset>
            </wp:positionV>
            <wp:extent cx="139700" cy="139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-2550795</wp:posOffset>
            </wp:positionV>
            <wp:extent cx="139700" cy="139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-2367915</wp:posOffset>
            </wp:positionV>
            <wp:extent cx="139700" cy="139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-2185035</wp:posOffset>
            </wp:positionV>
            <wp:extent cx="139700" cy="139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-1819275</wp:posOffset>
            </wp:positionV>
            <wp:extent cx="139700" cy="139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-1270635</wp:posOffset>
            </wp:positionV>
            <wp:extent cx="139700" cy="139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-1087755</wp:posOffset>
            </wp:positionV>
            <wp:extent cx="139700" cy="139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-721995</wp:posOffset>
            </wp:positionV>
            <wp:extent cx="139700" cy="139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-356235</wp:posOffset>
            </wp:positionV>
            <wp:extent cx="139700" cy="139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-173355</wp:posOffset>
            </wp:positionV>
            <wp:extent cx="139700" cy="1397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spacing w:after="0"/>
        <w:rPr>
          <w:sz w:val="20"/>
          <w:szCs w:val="20"/>
          <w:color w:val="auto"/>
        </w:rPr>
      </w:pPr>
      <w:r>
        <w:rPr>
          <w:rFonts w:ascii="Garamond" w:cs="Garamond" w:eastAsia="Garamond" w:hAnsi="Garamond"/>
          <w:sz w:val="26"/>
          <w:szCs w:val="26"/>
          <w:color w:val="auto"/>
        </w:rPr>
        <w:t>Check the following for potential death benefits or life insurance:</w:t>
      </w:r>
    </w:p>
    <w:tbl>
      <w:tblPr>
        <w:tblLayout w:type="fixed"/>
        <w:tblInd w:w="0" w:type="dxa"/>
        <w:tblCellMar>
          <w:top w:w="0" w:type="dxa"/>
          <w:left w:w="0" w:type="dxa"/>
          <w:bottom w:w="0" w:type="dxa"/>
          <w:right w:w="0" w:type="dxa"/>
        </w:tblCellMar>
      </w:tblPr>
      <w:tr>
        <w:trPr>
          <w:trHeight w:val="276"/>
        </w:trPr>
        <w:tc>
          <w:tcPr>
            <w:tcW w:w="220" w:type="dxa"/>
            <w:vAlign w:val="bottom"/>
          </w:tcPr>
          <w:p>
            <w:pPr>
              <w:spacing w:after="0" w:line="275" w:lineRule="exact"/>
              <w:rPr>
                <w:sz w:val="20"/>
                <w:szCs w:val="20"/>
                <w:color w:val="auto"/>
              </w:rPr>
            </w:pPr>
            <w:r>
              <w:rPr>
                <w:rFonts w:ascii="Arial" w:cs="Arial" w:eastAsia="Arial" w:hAnsi="Arial"/>
                <w:sz w:val="26"/>
                <w:szCs w:val="26"/>
                <w:color w:val="FFFFFF"/>
              </w:rPr>
              <w:t> </w:t>
            </w:r>
          </w:p>
        </w:tc>
        <w:tc>
          <w:tcPr>
            <w:tcW w:w="360" w:type="dxa"/>
            <w:vAlign w:val="bottom"/>
          </w:tcPr>
          <w:p>
            <w:pPr>
              <w:ind w:left="140"/>
              <w:spacing w:after="0" w:line="275" w:lineRule="exact"/>
              <w:rPr>
                <w:sz w:val="20"/>
                <w:szCs w:val="20"/>
                <w:color w:val="auto"/>
              </w:rPr>
            </w:pPr>
            <w:r>
              <w:rPr>
                <w:rFonts w:ascii="Arial" w:cs="Arial" w:eastAsia="Arial" w:hAnsi="Arial"/>
                <w:sz w:val="26"/>
                <w:szCs w:val="26"/>
                <w:color w:val="FFFFFF"/>
              </w:rPr>
              <w:t> </w:t>
            </w:r>
          </w:p>
        </w:tc>
        <w:tc>
          <w:tcPr>
            <w:tcW w:w="6340" w:type="dxa"/>
            <w:vAlign w:val="bottom"/>
            <w:gridSpan w:val="2"/>
          </w:tcPr>
          <w:p>
            <w:pPr>
              <w:ind w:left="140"/>
              <w:spacing w:after="0" w:line="276" w:lineRule="exact"/>
              <w:rPr>
                <w:sz w:val="20"/>
                <w:szCs w:val="20"/>
                <w:color w:val="auto"/>
              </w:rPr>
            </w:pPr>
            <w:r>
              <w:rPr>
                <w:rFonts w:ascii="Arial" w:cs="Arial" w:eastAsia="Arial" w:hAnsi="Arial"/>
                <w:sz w:val="26"/>
                <w:szCs w:val="26"/>
                <w:color w:val="FFFFFF"/>
                <w:w w:val="98"/>
              </w:rPr>
              <w:t xml:space="preserve">■ </w:t>
            </w:r>
            <w:r>
              <w:rPr>
                <w:rFonts w:ascii="Garamond" w:cs="Garamond" w:eastAsia="Garamond" w:hAnsi="Garamond"/>
                <w:sz w:val="26"/>
                <w:szCs w:val="26"/>
                <w:color w:val="000000"/>
                <w:w w:val="98"/>
              </w:rPr>
              <w:t>Check with employers, unions, organization or associations.</w:t>
            </w:r>
          </w:p>
        </w:tc>
      </w:tr>
      <w:tr>
        <w:trPr>
          <w:trHeight w:val="288"/>
        </w:trPr>
        <w:tc>
          <w:tcPr>
            <w:tcW w:w="220" w:type="dxa"/>
            <w:vAlign w:val="bottom"/>
          </w:tcPr>
          <w:p>
            <w:pPr>
              <w:spacing w:after="0" w:line="288" w:lineRule="exact"/>
              <w:rPr>
                <w:sz w:val="20"/>
                <w:szCs w:val="20"/>
                <w:color w:val="auto"/>
              </w:rPr>
            </w:pPr>
            <w:r>
              <w:rPr>
                <w:rFonts w:ascii="Arial" w:cs="Arial" w:eastAsia="Arial" w:hAnsi="Arial"/>
                <w:sz w:val="26"/>
                <w:szCs w:val="26"/>
                <w:color w:val="FFFFFF"/>
              </w:rPr>
              <w:t> </w:t>
            </w:r>
          </w:p>
        </w:tc>
        <w:tc>
          <w:tcPr>
            <w:tcW w:w="360" w:type="dxa"/>
            <w:vAlign w:val="bottom"/>
          </w:tcPr>
          <w:p>
            <w:pPr>
              <w:ind w:left="140"/>
              <w:spacing w:after="0" w:line="288" w:lineRule="exact"/>
              <w:rPr>
                <w:sz w:val="20"/>
                <w:szCs w:val="20"/>
                <w:color w:val="auto"/>
              </w:rPr>
            </w:pPr>
            <w:r>
              <w:rPr>
                <w:rFonts w:ascii="Arial" w:cs="Arial" w:eastAsia="Arial" w:hAnsi="Arial"/>
                <w:sz w:val="26"/>
                <w:szCs w:val="26"/>
                <w:color w:val="FFFFFF"/>
              </w:rPr>
              <w:t> </w:t>
            </w:r>
          </w:p>
        </w:tc>
        <w:tc>
          <w:tcPr>
            <w:tcW w:w="420" w:type="dxa"/>
            <w:vAlign w:val="bottom"/>
          </w:tcPr>
          <w:p>
            <w:pPr>
              <w:ind w:left="140"/>
              <w:spacing w:after="0" w:line="288" w:lineRule="exact"/>
              <w:rPr>
                <w:sz w:val="20"/>
                <w:szCs w:val="20"/>
                <w:color w:val="auto"/>
              </w:rPr>
            </w:pPr>
            <w:r>
              <w:rPr>
                <w:rFonts w:ascii="Arial" w:cs="Arial" w:eastAsia="Arial" w:hAnsi="Arial"/>
                <w:sz w:val="26"/>
                <w:szCs w:val="26"/>
                <w:color w:val="FFFFFF"/>
              </w:rPr>
              <w:t>■</w:t>
            </w:r>
          </w:p>
        </w:tc>
        <w:tc>
          <w:tcPr>
            <w:tcW w:w="5920" w:type="dxa"/>
            <w:vAlign w:val="bottom"/>
          </w:tcPr>
          <w:p>
            <w:pPr>
              <w:ind w:left="80"/>
              <w:spacing w:after="0" w:line="288" w:lineRule="exact"/>
              <w:rPr>
                <w:sz w:val="20"/>
                <w:szCs w:val="20"/>
                <w:color w:val="auto"/>
              </w:rPr>
            </w:pPr>
            <w:r>
              <w:rPr>
                <w:rFonts w:ascii="Garamond" w:cs="Garamond" w:eastAsia="Garamond" w:hAnsi="Garamond"/>
                <w:sz w:val="26"/>
                <w:szCs w:val="26"/>
                <w:color w:val="auto"/>
              </w:rPr>
              <w:t xml:space="preserve">U.S. Social Security Administration, </w:t>
            </w:r>
            <w:r>
              <w:rPr>
                <w:rFonts w:ascii="Garamond" w:cs="Garamond" w:eastAsia="Garamond" w:hAnsi="Garamond"/>
                <w:sz w:val="26"/>
                <w:szCs w:val="26"/>
                <w:i w:val="1"/>
                <w:iCs w:val="1"/>
                <w:color w:val="auto"/>
              </w:rPr>
              <w:t>Resources: pg. 62.</w:t>
            </w:r>
          </w:p>
        </w:tc>
      </w:tr>
      <w:tr>
        <w:trPr>
          <w:trHeight w:val="303"/>
        </w:trPr>
        <w:tc>
          <w:tcPr>
            <w:tcW w:w="220" w:type="dxa"/>
            <w:vAlign w:val="bottom"/>
          </w:tcPr>
          <w:p>
            <w:pPr>
              <w:spacing w:after="0" w:line="298" w:lineRule="exact"/>
              <w:rPr>
                <w:sz w:val="20"/>
                <w:szCs w:val="20"/>
                <w:color w:val="auto"/>
              </w:rPr>
            </w:pPr>
            <w:r>
              <w:rPr>
                <w:rFonts w:ascii="Arial" w:cs="Arial" w:eastAsia="Arial" w:hAnsi="Arial"/>
                <w:sz w:val="26"/>
                <w:szCs w:val="26"/>
                <w:color w:val="FFFFFF"/>
              </w:rPr>
              <w:t> </w:t>
            </w:r>
          </w:p>
        </w:tc>
        <w:tc>
          <w:tcPr>
            <w:tcW w:w="360" w:type="dxa"/>
            <w:vAlign w:val="bottom"/>
          </w:tcPr>
          <w:p>
            <w:pPr>
              <w:ind w:left="140"/>
              <w:spacing w:after="0" w:line="298" w:lineRule="exact"/>
              <w:rPr>
                <w:sz w:val="20"/>
                <w:szCs w:val="20"/>
                <w:color w:val="auto"/>
              </w:rPr>
            </w:pPr>
            <w:r>
              <w:rPr>
                <w:rFonts w:ascii="Arial" w:cs="Arial" w:eastAsia="Arial" w:hAnsi="Arial"/>
                <w:sz w:val="26"/>
                <w:szCs w:val="26"/>
                <w:color w:val="FFFFFF"/>
              </w:rPr>
              <w:t> </w:t>
            </w:r>
          </w:p>
        </w:tc>
        <w:tc>
          <w:tcPr>
            <w:tcW w:w="420" w:type="dxa"/>
            <w:vAlign w:val="bottom"/>
          </w:tcPr>
          <w:p>
            <w:pPr>
              <w:ind w:left="140"/>
              <w:spacing w:after="0" w:line="298" w:lineRule="exact"/>
              <w:rPr>
                <w:sz w:val="20"/>
                <w:szCs w:val="20"/>
                <w:color w:val="auto"/>
              </w:rPr>
            </w:pPr>
            <w:r>
              <w:rPr>
                <w:rFonts w:ascii="Arial" w:cs="Arial" w:eastAsia="Arial" w:hAnsi="Arial"/>
                <w:sz w:val="26"/>
                <w:szCs w:val="26"/>
                <w:color w:val="FFFFFF"/>
              </w:rPr>
              <w:t>■</w:t>
            </w:r>
          </w:p>
        </w:tc>
        <w:tc>
          <w:tcPr>
            <w:tcW w:w="5920" w:type="dxa"/>
            <w:vAlign w:val="bottom"/>
          </w:tcPr>
          <w:p>
            <w:pPr>
              <w:ind w:left="80"/>
              <w:spacing w:after="0"/>
              <w:rPr>
                <w:sz w:val="20"/>
                <w:szCs w:val="20"/>
                <w:color w:val="auto"/>
              </w:rPr>
            </w:pPr>
            <w:r>
              <w:rPr>
                <w:rFonts w:ascii="Garamond" w:cs="Garamond" w:eastAsia="Garamond" w:hAnsi="Garamond"/>
                <w:sz w:val="26"/>
                <w:szCs w:val="26"/>
                <w:color w:val="auto"/>
              </w:rPr>
              <w:t xml:space="preserve">U.S. Dept. of Veteran’s Affairs, </w:t>
            </w:r>
            <w:r>
              <w:rPr>
                <w:rFonts w:ascii="Garamond" w:cs="Garamond" w:eastAsia="Garamond" w:hAnsi="Garamond"/>
                <w:sz w:val="26"/>
                <w:szCs w:val="26"/>
                <w:i w:val="1"/>
                <w:iCs w:val="1"/>
                <w:color w:val="auto"/>
              </w:rPr>
              <w:t>Resources: pg. 62.</w:t>
            </w:r>
          </w:p>
        </w:tc>
      </w:tr>
    </w:tbl>
    <w:p>
      <w:pPr>
        <w:jc w:val="both"/>
        <w:ind w:left="360" w:hanging="360"/>
        <w:spacing w:after="0" w:line="228"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drawing>
          <wp:anchor simplePos="0" relativeHeight="251657728" behindDoc="1" locked="0" layoutInCell="0" allowOverlap="1">
            <wp:simplePos x="0" y="0"/>
            <wp:positionH relativeFrom="column">
              <wp:posOffset>450215</wp:posOffset>
            </wp:positionH>
            <wp:positionV relativeFrom="paragraph">
              <wp:posOffset>-523875</wp:posOffset>
            </wp:positionV>
            <wp:extent cx="139700" cy="139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-340995</wp:posOffset>
            </wp:positionV>
            <wp:extent cx="139700" cy="139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450215</wp:posOffset>
            </wp:positionH>
            <wp:positionV relativeFrom="paragraph">
              <wp:posOffset>-158115</wp:posOffset>
            </wp:positionV>
            <wp:extent cx="139700" cy="139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139700" cy="139700"/>
                    </a:xfrm>
                    <a:prstGeom prst="rect">
                      <a:avLst/>
                    </a:prstGeom>
                    <a:noFill/>
                  </pic:spPr>
                </pic:pic>
              </a:graphicData>
            </a:graphic>
          </wp:anchor>
        </w:drawing>
        <w:t>Notify the primary care physician or medical office. If the decedent was being cared for by a specialist, their primary care provider may not learn of the death until you notify them.</w:t>
      </w:r>
    </w:p>
    <w:p>
      <w:pPr>
        <w:spacing w:after="0" w:line="1" w:lineRule="exact"/>
        <w:rPr>
          <w:rFonts w:ascii="Arial" w:cs="Arial" w:eastAsia="Arial" w:hAnsi="Arial"/>
          <w:sz w:val="26"/>
          <w:szCs w:val="26"/>
          <w:color w:val="FFFFFF"/>
        </w:rPr>
      </w:pP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Evaluate the need for security at the residence, particularly during funeral or memorial services.</w:t>
      </w: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Cancel or rearrange any regular home deliveries such as newspapers, milk, etc.</w:t>
      </w: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Arrange for the mail to be held at the post office or forwarded.</w:t>
      </w:r>
    </w:p>
    <w:p>
      <w:pPr>
        <w:jc w:val="both"/>
        <w:ind w:left="360" w:hanging="360"/>
        <w:spacing w:after="0" w:line="225"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Cancel publication subscriptions. Keep a copy of the address label from the latest publication as a record, and then send the label to the publisher requesting a refund of the remaining balance.</w:t>
      </w:r>
    </w:p>
    <w:p>
      <w:pPr>
        <w:spacing w:after="0" w:line="1" w:lineRule="exact"/>
        <w:rPr>
          <w:rFonts w:ascii="Arial" w:cs="Arial" w:eastAsia="Arial" w:hAnsi="Arial"/>
          <w:sz w:val="26"/>
          <w:szCs w:val="26"/>
          <w:color w:val="FFFFFF"/>
        </w:rPr>
      </w:pPr>
    </w:p>
    <w:p>
      <w:pPr>
        <w:jc w:val="both"/>
        <w:ind w:left="360" w:hanging="360"/>
        <w:spacing w:after="0" w:line="23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 xml:space="preserve">Contact the Direct Marketing Association and ask to be placed on their deletion list. </w:t>
      </w:r>
      <w:r>
        <w:rPr>
          <w:rFonts w:ascii="Garamond" w:cs="Garamond" w:eastAsia="Garamond" w:hAnsi="Garamond"/>
          <w:sz w:val="26"/>
          <w:szCs w:val="26"/>
          <w:i w:val="1"/>
          <w:iCs w:val="1"/>
          <w:color w:val="auto"/>
        </w:rPr>
        <w:t>Resources: Direct</w:t>
      </w:r>
      <w:r>
        <w:rPr>
          <w:rFonts w:ascii="Garamond" w:cs="Garamond" w:eastAsia="Garamond" w:hAnsi="Garamond"/>
          <w:sz w:val="26"/>
          <w:szCs w:val="26"/>
          <w:color w:val="auto"/>
        </w:rPr>
        <w:t xml:space="preserve"> </w:t>
      </w:r>
      <w:r>
        <w:rPr>
          <w:rFonts w:ascii="Garamond" w:cs="Garamond" w:eastAsia="Garamond" w:hAnsi="Garamond"/>
          <w:sz w:val="26"/>
          <w:szCs w:val="26"/>
          <w:i w:val="1"/>
          <w:iCs w:val="1"/>
          <w:color w:val="auto"/>
        </w:rPr>
        <w:t>Marketing Association, pg. 64.</w:t>
      </w: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Stop automatic payments from banks and credit cards, and close accounts.</w:t>
      </w: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Find perishable property (food, plants, etc.) and arrange for care or disposal.</w:t>
      </w:r>
    </w:p>
    <w:p>
      <w:pPr>
        <w:jc w:val="both"/>
        <w:ind w:left="360" w:hanging="360"/>
        <w:spacing w:after="0" w:line="228"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 xml:space="preserve">Keep records of </w:t>
      </w:r>
      <w:r>
        <w:rPr>
          <w:rFonts w:ascii="Garamond" w:cs="Garamond" w:eastAsia="Garamond" w:hAnsi="Garamond"/>
          <w:sz w:val="26"/>
          <w:szCs w:val="26"/>
          <w:i w:val="1"/>
          <w:iCs w:val="1"/>
          <w:color w:val="auto"/>
        </w:rPr>
        <w:t>all</w:t>
      </w:r>
      <w:r>
        <w:rPr>
          <w:rFonts w:ascii="Garamond" w:cs="Garamond" w:eastAsia="Garamond" w:hAnsi="Garamond"/>
          <w:sz w:val="26"/>
          <w:szCs w:val="26"/>
          <w:color w:val="auto"/>
        </w:rPr>
        <w:t xml:space="preserve"> payments on burial and other expenses made on behalf of the individual or their estate. To be reimbursed from a probate estate, written receipts are generally required.</w:t>
      </w:r>
    </w:p>
    <w:p>
      <w:pPr>
        <w:spacing w:after="0" w:line="1" w:lineRule="exact"/>
        <w:rPr>
          <w:rFonts w:ascii="Arial" w:cs="Arial" w:eastAsia="Arial" w:hAnsi="Arial"/>
          <w:sz w:val="26"/>
          <w:szCs w:val="26"/>
          <w:color w:val="FFFFFF"/>
        </w:rPr>
      </w:pP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Review the decedent’s personal calendar and cancel appointments.</w:t>
      </w: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Locate original Will and meet with attorney.</w:t>
      </w:r>
    </w:p>
    <w:p>
      <w:pPr>
        <w:jc w:val="both"/>
        <w:ind w:left="360" w:hanging="360"/>
        <w:spacing w:after="0" w:line="221" w:lineRule="auto"/>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Review with CPA pending or needed tax matters.</w:t>
      </w:r>
    </w:p>
    <w:p>
      <w:pPr>
        <w:jc w:val="both"/>
        <w:ind w:left="360" w:hanging="360"/>
        <w:spacing w:after="0"/>
        <w:tabs>
          <w:tab w:leader="none" w:pos="360" w:val="left"/>
        </w:tabs>
        <w:numPr>
          <w:ilvl w:val="0"/>
          <w:numId w:val="2"/>
        </w:numPr>
        <w:rPr>
          <w:rFonts w:ascii="Arial" w:cs="Arial" w:eastAsia="Arial" w:hAnsi="Arial"/>
          <w:sz w:val="26"/>
          <w:szCs w:val="26"/>
          <w:color w:val="FFFFFF"/>
        </w:rPr>
      </w:pPr>
      <w:r>
        <w:rPr>
          <w:rFonts w:ascii="Garamond" w:cs="Garamond" w:eastAsia="Garamond" w:hAnsi="Garamond"/>
          <w:sz w:val="26"/>
          <w:szCs w:val="26"/>
          <w:color w:val="auto"/>
        </w:rPr>
        <w:t>Additional special steps:</w:t>
      </w:r>
    </w:p>
    <w:p>
      <w:pPr>
        <w:spacing w:after="0" w:line="1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-6350</wp:posOffset>
            </wp:positionH>
            <wp:positionV relativeFrom="paragraph">
              <wp:posOffset>-3099435</wp:posOffset>
            </wp:positionV>
            <wp:extent cx="139700" cy="1397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-2733675</wp:posOffset>
            </wp:positionV>
            <wp:extent cx="139700" cy="1397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-2550795</wp:posOffset>
            </wp:positionV>
            <wp:extent cx="139700" cy="139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-2367915</wp:posOffset>
            </wp:positionV>
            <wp:extent cx="139700" cy="1397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-2185035</wp:posOffset>
            </wp:positionV>
            <wp:extent cx="139700" cy="1397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-1819275</wp:posOffset>
            </wp:positionV>
            <wp:extent cx="139700" cy="1397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-1453515</wp:posOffset>
            </wp:positionV>
            <wp:extent cx="139700" cy="139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-1270635</wp:posOffset>
            </wp:positionV>
            <wp:extent cx="139700" cy="139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-1087755</wp:posOffset>
            </wp:positionV>
            <wp:extent cx="139700" cy="139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-721995</wp:posOffset>
            </wp:positionV>
            <wp:extent cx="139700" cy="13970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-539115</wp:posOffset>
            </wp:positionV>
            <wp:extent cx="139700" cy="1397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-356235</wp:posOffset>
            </wp:positionV>
            <wp:extent cx="139700" cy="1397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-173355</wp:posOffset>
            </wp:positionV>
            <wp:extent cx="139700" cy="13970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ind w:left="380"/>
        <w:spacing w:after="0"/>
        <w:rPr>
          <w:sz w:val="20"/>
          <w:szCs w:val="20"/>
          <w:color w:val="auto"/>
        </w:rPr>
      </w:pPr>
      <w:r>
        <w:rPr>
          <w:rFonts w:ascii="Garamond" w:cs="Garamond" w:eastAsia="Garamond" w:hAnsi="Garamond"/>
          <w:sz w:val="26"/>
          <w:szCs w:val="26"/>
          <w:color w:val="auto"/>
        </w:rPr>
        <w:t>______________________________________________________________________</w:t>
      </w:r>
    </w:p>
    <w:p>
      <w:pPr>
        <w:spacing w:after="0" w:line="148" w:lineRule="exact"/>
        <w:rPr>
          <w:sz w:val="24"/>
          <w:szCs w:val="24"/>
          <w:color w:val="auto"/>
        </w:rPr>
      </w:pPr>
    </w:p>
    <w:p>
      <w:pPr>
        <w:ind w:left="380"/>
        <w:spacing w:after="0"/>
        <w:rPr>
          <w:sz w:val="20"/>
          <w:szCs w:val="20"/>
          <w:color w:val="auto"/>
        </w:rPr>
      </w:pPr>
      <w:r>
        <w:rPr>
          <w:rFonts w:ascii="Garamond" w:cs="Garamond" w:eastAsia="Garamond" w:hAnsi="Garamond"/>
          <w:sz w:val="26"/>
          <w:szCs w:val="26"/>
          <w:color w:val="auto"/>
        </w:rPr>
        <w:t>______________________________________________________________________</w:t>
      </w:r>
    </w:p>
    <w:p>
      <w:pPr>
        <w:sectPr>
          <w:pgSz w:w="12240" w:h="15840" w:orient="portrait"/>
          <w:cols w:equalWidth="0" w:num="1">
            <w:col w:w="10080"/>
          </w:cols>
          <w:pgMar w:left="1260" w:top="656" w:right="900" w:bottom="231"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53" w:lineRule="exact"/>
        <w:rPr>
          <w:sz w:val="24"/>
          <w:szCs w:val="24"/>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- 51</w:t>
      </w:r>
    </w:p>
    <w:sectPr>
      <w:pgSz w:w="12240" w:h="15840" w:orient="portrait"/>
      <w:cols w:equalWidth="0" w:num="1">
        <w:col w:w="10080"/>
      </w:cols>
      <w:pgMar w:left="1260" w:top="656" w:right="900" w:bottom="23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lvl w:ilvl="1">
      <w:lvlJc w:val="left"/>
      <w:lvlText w:val="■"/>
      <w:numFmt w:val="bullet"/>
      <w:start w:val="1"/>
    </w:lvl>
  </w:abstractNum>
  <w:abstractNum w:abstractNumId="1">
    <w:nsid w:val="66334873"/>
    <w:multiLevelType w:val="hybridMultilevel"/>
    <w:lvl w:ilvl="0">
      <w:lvlJc w:val="left"/>
      <w:lvlText w:val="■"/>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2017-01-30T00:13:49Z</dcterms:created>
  <dcterms:modified xsi:type="dcterms:W3CDTF">2017-01-30T00:13:49Z</dcterms:modified>
</cp:coreProperties>
</file>